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F9" w:rsidRPr="00274A5B" w:rsidRDefault="005C7FF9" w:rsidP="005C7FF9">
      <w:pPr>
        <w:jc w:val="center"/>
        <w:rPr>
          <w:rFonts w:ascii="Arial" w:hAnsi="Arial" w:cs="Arial"/>
          <w:b/>
          <w:sz w:val="24"/>
          <w:szCs w:val="24"/>
          <w:u w:val="single"/>
        </w:rPr>
      </w:pPr>
      <w:bookmarkStart w:id="0" w:name="_GoBack"/>
      <w:bookmarkEnd w:id="0"/>
      <w:r w:rsidRPr="00274A5B">
        <w:rPr>
          <w:rFonts w:ascii="Arial" w:hAnsi="Arial" w:cs="Arial"/>
          <w:b/>
          <w:sz w:val="24"/>
          <w:szCs w:val="24"/>
          <w:u w:val="single"/>
        </w:rPr>
        <w:t>QUARTERLY REPORT COVER SHEET</w:t>
      </w:r>
    </w:p>
    <w:p w:rsidR="005C7FF9" w:rsidRPr="00274A5B" w:rsidRDefault="005C7FF9" w:rsidP="005C7FF9">
      <w:pPr>
        <w:jc w:val="center"/>
        <w:rPr>
          <w:rFonts w:ascii="Arial" w:hAnsi="Arial" w:cs="Arial"/>
          <w:sz w:val="24"/>
          <w:szCs w:val="24"/>
        </w:rPr>
      </w:pPr>
    </w:p>
    <w:tbl>
      <w:tblPr>
        <w:tblStyle w:val="TableGrid"/>
        <w:tblW w:w="5000" w:type="pct"/>
        <w:tblLook w:val="04A0" w:firstRow="1" w:lastRow="0" w:firstColumn="1" w:lastColumn="0" w:noHBand="0" w:noVBand="1"/>
      </w:tblPr>
      <w:tblGrid>
        <w:gridCol w:w="491"/>
        <w:gridCol w:w="2947"/>
        <w:gridCol w:w="6138"/>
      </w:tblGrid>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Grant Number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90DN0331-01-00</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2</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Project Title</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“Our Community Standing Strong” (OCSS)</w:t>
            </w:r>
          </w:p>
          <w:p w:rsidR="005C7FF9" w:rsidRPr="00274A5B" w:rsidRDefault="005C7FF9" w:rsidP="001F5AF1">
            <w:pPr>
              <w:rPr>
                <w:rFonts w:ascii="Arial" w:hAnsi="Arial" w:cs="Arial"/>
                <w:sz w:val="24"/>
                <w:szCs w:val="24"/>
              </w:rPr>
            </w:pPr>
            <w:r w:rsidRPr="00274A5B">
              <w:rPr>
                <w:rFonts w:ascii="Arial" w:hAnsi="Arial" w:cs="Arial"/>
                <w:sz w:val="24"/>
                <w:szCs w:val="24"/>
              </w:rPr>
              <w:t>A Regional Technical Assistance Center for the Southern Collaborative</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3</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Grantee Name &amp; Address</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4401 West Northwood Lake Dr.</w:t>
            </w:r>
          </w:p>
          <w:p w:rsidR="005C7FF9" w:rsidRPr="00274A5B" w:rsidRDefault="005C7FF9" w:rsidP="001F5AF1">
            <w:pPr>
              <w:rPr>
                <w:rFonts w:ascii="Arial" w:hAnsi="Arial" w:cs="Arial"/>
                <w:sz w:val="24"/>
                <w:szCs w:val="24"/>
              </w:rPr>
            </w:pPr>
            <w:r w:rsidRPr="00274A5B">
              <w:rPr>
                <w:rFonts w:ascii="Arial" w:hAnsi="Arial" w:cs="Arial"/>
                <w:sz w:val="24"/>
                <w:szCs w:val="24"/>
              </w:rPr>
              <w:t>Northport, Al. 35473</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4</w:t>
            </w:r>
          </w:p>
        </w:tc>
        <w:tc>
          <w:tcPr>
            <w:tcW w:w="1539" w:type="pct"/>
            <w:vAlign w:val="center"/>
          </w:tcPr>
          <w:p w:rsidR="005C7FF9" w:rsidRPr="00274A5B" w:rsidRDefault="005C7FF9" w:rsidP="001F5AF1">
            <w:pPr>
              <w:autoSpaceDE w:val="0"/>
              <w:autoSpaceDN w:val="0"/>
              <w:adjustRightInd w:val="0"/>
              <w:jc w:val="center"/>
              <w:rPr>
                <w:rFonts w:ascii="Arial" w:hAnsi="Arial" w:cs="Arial"/>
                <w:b/>
                <w:sz w:val="24"/>
                <w:szCs w:val="24"/>
              </w:rPr>
            </w:pPr>
            <w:r w:rsidRPr="00274A5B">
              <w:rPr>
                <w:rFonts w:ascii="Arial" w:hAnsi="Arial" w:cs="Arial"/>
                <w:b/>
                <w:bCs/>
                <w:color w:val="000000"/>
                <w:sz w:val="24"/>
                <w:szCs w:val="24"/>
              </w:rPr>
              <w:t>Telephone number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205-310-4839</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5</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Project Period</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October 1, 2013-September 30, 2014</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6</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Reporting Period</w:t>
            </w:r>
          </w:p>
        </w:tc>
        <w:tc>
          <w:tcPr>
            <w:tcW w:w="3206" w:type="pct"/>
          </w:tcPr>
          <w:p w:rsidR="005C7FF9" w:rsidRPr="00274A5B" w:rsidRDefault="009F6A22" w:rsidP="001F5AF1">
            <w:pPr>
              <w:rPr>
                <w:rFonts w:ascii="Arial" w:hAnsi="Arial" w:cs="Arial"/>
                <w:sz w:val="24"/>
                <w:szCs w:val="24"/>
              </w:rPr>
            </w:pPr>
            <w:r>
              <w:rPr>
                <w:rFonts w:ascii="Arial" w:hAnsi="Arial" w:cs="Arial"/>
                <w:sz w:val="24"/>
                <w:szCs w:val="24"/>
              </w:rPr>
              <w:t>January 1, 2014-March 31, 2014</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7</w:t>
            </w:r>
          </w:p>
        </w:tc>
        <w:tc>
          <w:tcPr>
            <w:tcW w:w="1539" w:type="pct"/>
            <w:vAlign w:val="center"/>
          </w:tcPr>
          <w:p w:rsidR="005C7FF9" w:rsidRPr="00274A5B" w:rsidRDefault="005C7FF9" w:rsidP="001F5AF1">
            <w:pPr>
              <w:pStyle w:val="Default"/>
              <w:spacing w:after="211"/>
              <w:jc w:val="center"/>
              <w:rPr>
                <w:rFonts w:ascii="Arial" w:hAnsi="Arial" w:cs="Arial"/>
                <w:b/>
              </w:rPr>
            </w:pPr>
            <w:r w:rsidRPr="00274A5B">
              <w:rPr>
                <w:rFonts w:ascii="Arial" w:hAnsi="Arial" w:cs="Arial"/>
                <w:b/>
                <w:bCs/>
              </w:rPr>
              <w:t>Project Director/Principal Investigator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Vicki Hicks Turnage</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8</w:t>
            </w:r>
          </w:p>
        </w:tc>
        <w:tc>
          <w:tcPr>
            <w:tcW w:w="1539" w:type="pct"/>
            <w:vAlign w:val="center"/>
          </w:tcPr>
          <w:p w:rsidR="005C7FF9" w:rsidRPr="00274A5B" w:rsidRDefault="005C7FF9" w:rsidP="001F5AF1">
            <w:pPr>
              <w:pStyle w:val="Default"/>
              <w:ind w:left="360" w:hanging="360"/>
              <w:jc w:val="center"/>
              <w:rPr>
                <w:rFonts w:ascii="Arial" w:hAnsi="Arial" w:cs="Arial"/>
                <w:b/>
              </w:rPr>
            </w:pPr>
            <w:r w:rsidRPr="00274A5B">
              <w:rPr>
                <w:rFonts w:ascii="Arial" w:hAnsi="Arial" w:cs="Arial"/>
                <w:b/>
                <w:bCs/>
              </w:rPr>
              <w:t>Report Author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Chaqueta Stuckey</w:t>
            </w:r>
          </w:p>
          <w:p w:rsidR="005C7FF9" w:rsidRPr="00274A5B" w:rsidRDefault="005C7FF9" w:rsidP="001F5AF1">
            <w:pPr>
              <w:rPr>
                <w:rFonts w:ascii="Arial" w:hAnsi="Arial" w:cs="Arial"/>
                <w:sz w:val="24"/>
                <w:szCs w:val="24"/>
              </w:rPr>
            </w:pPr>
            <w:r w:rsidRPr="00274A5B">
              <w:rPr>
                <w:rFonts w:ascii="Arial" w:hAnsi="Arial" w:cs="Arial"/>
                <w:sz w:val="24"/>
                <w:szCs w:val="24"/>
              </w:rPr>
              <w:t>Vicki Hicks Turnage</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9</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Telephone</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Chaqueta Stuckey: 843-319-0118</w:t>
            </w:r>
          </w:p>
          <w:p w:rsidR="005C7FF9" w:rsidRPr="00274A5B" w:rsidRDefault="005C7FF9" w:rsidP="001F5AF1">
            <w:pPr>
              <w:rPr>
                <w:rFonts w:ascii="Arial" w:hAnsi="Arial" w:cs="Arial"/>
                <w:sz w:val="24"/>
                <w:szCs w:val="24"/>
              </w:rPr>
            </w:pPr>
            <w:r w:rsidRPr="00274A5B">
              <w:rPr>
                <w:rFonts w:ascii="Arial" w:hAnsi="Arial" w:cs="Arial"/>
                <w:sz w:val="24"/>
                <w:szCs w:val="24"/>
              </w:rPr>
              <w:t>Vicki Hicks Turnage: 205-310-4839</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10</w:t>
            </w:r>
          </w:p>
        </w:tc>
        <w:tc>
          <w:tcPr>
            <w:tcW w:w="1539" w:type="pct"/>
            <w:vAlign w:val="center"/>
          </w:tcPr>
          <w:p w:rsidR="005C7FF9" w:rsidRPr="00274A5B" w:rsidRDefault="005C7FF9" w:rsidP="001F5AF1">
            <w:pPr>
              <w:pStyle w:val="Default"/>
              <w:ind w:hanging="180"/>
              <w:jc w:val="center"/>
              <w:rPr>
                <w:rFonts w:ascii="Arial" w:hAnsi="Arial" w:cs="Arial"/>
                <w:b/>
              </w:rPr>
            </w:pPr>
            <w:r w:rsidRPr="00274A5B">
              <w:rPr>
                <w:rFonts w:ascii="Arial" w:hAnsi="Arial" w:cs="Arial"/>
                <w:b/>
                <w:bCs/>
              </w:rPr>
              <w:t>Date of Report</w:t>
            </w:r>
          </w:p>
        </w:tc>
        <w:tc>
          <w:tcPr>
            <w:tcW w:w="3206" w:type="pct"/>
          </w:tcPr>
          <w:p w:rsidR="005C7FF9" w:rsidRPr="00274A5B" w:rsidRDefault="009F6A22" w:rsidP="001F5AF1">
            <w:pPr>
              <w:rPr>
                <w:rFonts w:ascii="Arial" w:hAnsi="Arial" w:cs="Arial"/>
                <w:sz w:val="24"/>
                <w:szCs w:val="24"/>
              </w:rPr>
            </w:pPr>
            <w:r>
              <w:rPr>
                <w:rFonts w:ascii="Arial" w:hAnsi="Arial" w:cs="Arial"/>
                <w:sz w:val="24"/>
                <w:szCs w:val="24"/>
              </w:rPr>
              <w:t>April 21</w:t>
            </w:r>
            <w:r w:rsidR="005C7FF9" w:rsidRPr="00274A5B">
              <w:rPr>
                <w:rFonts w:ascii="Arial" w:hAnsi="Arial" w:cs="Arial"/>
                <w:sz w:val="24"/>
                <w:szCs w:val="24"/>
              </w:rPr>
              <w:t>, 2014</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11</w:t>
            </w:r>
          </w:p>
        </w:tc>
        <w:tc>
          <w:tcPr>
            <w:tcW w:w="1539" w:type="pct"/>
            <w:vAlign w:val="center"/>
          </w:tcPr>
          <w:p w:rsidR="005C7FF9" w:rsidRPr="00274A5B" w:rsidRDefault="005C7FF9" w:rsidP="001F5AF1">
            <w:pPr>
              <w:jc w:val="center"/>
              <w:rPr>
                <w:rFonts w:ascii="Arial" w:hAnsi="Arial" w:cs="Arial"/>
                <w:b/>
                <w:sz w:val="24"/>
                <w:szCs w:val="24"/>
              </w:rPr>
            </w:pPr>
            <w:r w:rsidRPr="00274A5B">
              <w:rPr>
                <w:rFonts w:ascii="Arial" w:hAnsi="Arial" w:cs="Arial"/>
                <w:b/>
                <w:bCs/>
                <w:sz w:val="24"/>
                <w:szCs w:val="24"/>
              </w:rPr>
              <w:t>ACL Program Officer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Katherine Cargill-Willis</w:t>
            </w:r>
          </w:p>
          <w:p w:rsidR="005C7FF9" w:rsidRPr="00274A5B" w:rsidRDefault="005C7FF9" w:rsidP="001F5AF1">
            <w:pPr>
              <w:rPr>
                <w:rFonts w:ascii="Arial" w:hAnsi="Arial" w:cs="Arial"/>
                <w:sz w:val="24"/>
                <w:szCs w:val="24"/>
              </w:rPr>
            </w:pP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12</w:t>
            </w:r>
          </w:p>
        </w:tc>
        <w:tc>
          <w:tcPr>
            <w:tcW w:w="1539" w:type="pct"/>
            <w:vAlign w:val="center"/>
          </w:tcPr>
          <w:p w:rsidR="005C7FF9" w:rsidRPr="00274A5B" w:rsidRDefault="005C7FF9" w:rsidP="001F5AF1">
            <w:pPr>
              <w:jc w:val="center"/>
              <w:rPr>
                <w:rFonts w:ascii="Arial" w:hAnsi="Arial" w:cs="Arial"/>
                <w:b/>
                <w:sz w:val="24"/>
                <w:szCs w:val="24"/>
              </w:rPr>
            </w:pPr>
            <w:r w:rsidRPr="00274A5B">
              <w:rPr>
                <w:rFonts w:ascii="Arial" w:hAnsi="Arial" w:cs="Arial"/>
                <w:b/>
                <w:bCs/>
                <w:sz w:val="24"/>
                <w:szCs w:val="24"/>
              </w:rPr>
              <w:t>ACL Grants Specialist</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LaDeva Harris</w:t>
            </w:r>
          </w:p>
        </w:tc>
      </w:tr>
    </w:tbl>
    <w:p w:rsidR="005C7FF9" w:rsidRPr="00274A5B" w:rsidRDefault="005C7FF9" w:rsidP="005C7FF9">
      <w:pPr>
        <w:rPr>
          <w:rFonts w:ascii="Arial" w:hAnsi="Arial" w:cs="Arial"/>
          <w:sz w:val="24"/>
          <w:szCs w:val="24"/>
        </w:rPr>
      </w:pPr>
    </w:p>
    <w:p w:rsidR="00A42F2E" w:rsidRDefault="00A42F2E" w:rsidP="00274A5B">
      <w:pPr>
        <w:rPr>
          <w:rFonts w:ascii="Arial" w:hAnsi="Arial" w:cs="Arial"/>
          <w:sz w:val="24"/>
          <w:szCs w:val="24"/>
        </w:rPr>
      </w:pPr>
    </w:p>
    <w:p w:rsidR="00274A5B" w:rsidRPr="00274A5B" w:rsidRDefault="00274A5B" w:rsidP="00274A5B">
      <w:pPr>
        <w:rPr>
          <w:rFonts w:ascii="Arial" w:hAnsi="Arial" w:cs="Arial"/>
          <w:b/>
          <w:sz w:val="24"/>
          <w:szCs w:val="24"/>
        </w:rPr>
      </w:pPr>
      <w:r w:rsidRPr="00274A5B">
        <w:rPr>
          <w:rFonts w:ascii="Arial" w:hAnsi="Arial" w:cs="Arial"/>
          <w:b/>
          <w:sz w:val="24"/>
          <w:szCs w:val="24"/>
        </w:rPr>
        <w:lastRenderedPageBreak/>
        <w:t>SECTION 1</w:t>
      </w:r>
    </w:p>
    <w:tbl>
      <w:tblPr>
        <w:tblStyle w:val="TableGrid"/>
        <w:tblW w:w="0" w:type="auto"/>
        <w:tblLook w:val="04A0" w:firstRow="1" w:lastRow="0" w:firstColumn="1" w:lastColumn="0" w:noHBand="0" w:noVBand="1"/>
      </w:tblPr>
      <w:tblGrid>
        <w:gridCol w:w="4788"/>
        <w:gridCol w:w="4788"/>
      </w:tblGrid>
      <w:tr w:rsidR="00274A5B" w:rsidRPr="00274A5B" w:rsidTr="005F3696">
        <w:tc>
          <w:tcPr>
            <w:tcW w:w="9350" w:type="dxa"/>
            <w:gridSpan w:val="2"/>
          </w:tcPr>
          <w:p w:rsidR="00274A5B" w:rsidRPr="00274A5B" w:rsidRDefault="00274A5B" w:rsidP="005F3696">
            <w:pPr>
              <w:jc w:val="center"/>
              <w:rPr>
                <w:rFonts w:ascii="Arial" w:hAnsi="Arial" w:cs="Arial"/>
                <w:b/>
                <w:sz w:val="24"/>
                <w:szCs w:val="24"/>
              </w:rPr>
            </w:pPr>
            <w:r w:rsidRPr="00274A5B">
              <w:rPr>
                <w:rFonts w:ascii="Arial" w:hAnsi="Arial" w:cs="Arial"/>
                <w:b/>
                <w:sz w:val="24"/>
                <w:szCs w:val="24"/>
              </w:rPr>
              <w:br w:type="page"/>
              <w:t>Goal 1</w:t>
            </w:r>
          </w:p>
          <w:p w:rsidR="00274A5B" w:rsidRPr="00274A5B" w:rsidRDefault="00274A5B" w:rsidP="005F3696">
            <w:pPr>
              <w:tabs>
                <w:tab w:val="left" w:pos="501"/>
                <w:tab w:val="center" w:pos="4680"/>
              </w:tabs>
              <w:rPr>
                <w:rFonts w:ascii="Arial" w:hAnsi="Arial" w:cs="Arial"/>
                <w:b/>
                <w:sz w:val="24"/>
                <w:szCs w:val="24"/>
              </w:rPr>
            </w:pPr>
            <w:r w:rsidRPr="00274A5B">
              <w:rPr>
                <w:rFonts w:ascii="Arial" w:hAnsi="Arial" w:cs="Arial"/>
                <w:b/>
                <w:sz w:val="24"/>
                <w:szCs w:val="24"/>
              </w:rPr>
              <w:tab/>
            </w:r>
            <w:r w:rsidRPr="00274A5B">
              <w:rPr>
                <w:rFonts w:ascii="Arial" w:hAnsi="Arial" w:cs="Arial"/>
                <w:b/>
                <w:sz w:val="24"/>
                <w:szCs w:val="24"/>
              </w:rPr>
              <w:tab/>
            </w:r>
            <w:r w:rsidRPr="00274A5B">
              <w:rPr>
                <w:rFonts w:ascii="Arial" w:hAnsi="Arial" w:cs="Arial"/>
                <w:b/>
                <w:noProof/>
                <w:sz w:val="24"/>
                <w:szCs w:val="24"/>
              </w:rPr>
              <w:drawing>
                <wp:inline distT="0" distB="0" distL="0" distR="0" wp14:anchorId="2FEB3D76" wp14:editId="6EA19681">
                  <wp:extent cx="728373" cy="61093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783" cy="612112"/>
                          </a:xfrm>
                          <a:prstGeom prst="rect">
                            <a:avLst/>
                          </a:prstGeom>
                        </pic:spPr>
                      </pic:pic>
                    </a:graphicData>
                  </a:graphic>
                </wp:inline>
              </w:drawing>
            </w:r>
          </w:p>
          <w:p w:rsidR="00274A5B" w:rsidRPr="00274A5B" w:rsidRDefault="00274A5B" w:rsidP="005F3696">
            <w:pPr>
              <w:tabs>
                <w:tab w:val="left" w:pos="501"/>
                <w:tab w:val="center" w:pos="4680"/>
              </w:tabs>
              <w:rPr>
                <w:rFonts w:ascii="Arial" w:hAnsi="Arial" w:cs="Arial"/>
                <w:b/>
                <w:sz w:val="24"/>
                <w:szCs w:val="24"/>
              </w:rPr>
            </w:pPr>
          </w:p>
          <w:p w:rsidR="00274A5B" w:rsidRPr="00274A5B" w:rsidRDefault="00274A5B" w:rsidP="005F3696">
            <w:pPr>
              <w:tabs>
                <w:tab w:val="left" w:pos="501"/>
                <w:tab w:val="center" w:pos="4680"/>
              </w:tabs>
              <w:rPr>
                <w:rFonts w:ascii="Arial" w:hAnsi="Arial" w:cs="Arial"/>
                <w:b/>
                <w:sz w:val="24"/>
                <w:szCs w:val="24"/>
              </w:rPr>
            </w:pPr>
            <w:r w:rsidRPr="00274A5B">
              <w:rPr>
                <w:rFonts w:ascii="Arial" w:hAnsi="Arial" w:cs="Arial"/>
                <w:sz w:val="24"/>
                <w:szCs w:val="24"/>
              </w:rPr>
              <w:t>To provide regional technical assistance to strengthen the participating states capacity to increase and support self advocacy through relationships and partnerships at the community level.</w:t>
            </w:r>
          </w:p>
          <w:p w:rsidR="00274A5B" w:rsidRPr="00274A5B" w:rsidRDefault="00274A5B" w:rsidP="005F3696">
            <w:pPr>
              <w:tabs>
                <w:tab w:val="left" w:pos="501"/>
                <w:tab w:val="center" w:pos="4680"/>
              </w:tabs>
              <w:rPr>
                <w:rFonts w:ascii="Arial" w:hAnsi="Arial" w:cs="Arial"/>
                <w:b/>
                <w:sz w:val="24"/>
                <w:szCs w:val="24"/>
              </w:rPr>
            </w:pPr>
          </w:p>
        </w:tc>
      </w:tr>
      <w:tr w:rsidR="00274A5B" w:rsidRPr="00274A5B" w:rsidTr="005F3696">
        <w:tc>
          <w:tcPr>
            <w:tcW w:w="4788" w:type="dxa"/>
          </w:tcPr>
          <w:p w:rsidR="00274A5B" w:rsidRPr="00274A5B" w:rsidRDefault="00274A5B" w:rsidP="005F3696">
            <w:pPr>
              <w:jc w:val="center"/>
              <w:rPr>
                <w:rFonts w:ascii="Arial" w:hAnsi="Arial" w:cs="Arial"/>
                <w:sz w:val="24"/>
                <w:szCs w:val="24"/>
              </w:rPr>
            </w:pPr>
            <w:r w:rsidRPr="00274A5B">
              <w:rPr>
                <w:rFonts w:ascii="Arial" w:hAnsi="Arial" w:cs="Arial"/>
                <w:sz w:val="24"/>
                <w:szCs w:val="24"/>
              </w:rPr>
              <w:t>Objectives</w:t>
            </w:r>
          </w:p>
          <w:p w:rsidR="00274A5B" w:rsidRPr="00274A5B" w:rsidRDefault="00274A5B" w:rsidP="005F3696">
            <w:pPr>
              <w:jc w:val="center"/>
              <w:rPr>
                <w:rFonts w:ascii="Arial" w:hAnsi="Arial" w:cs="Arial"/>
                <w:sz w:val="24"/>
                <w:szCs w:val="24"/>
              </w:rPr>
            </w:pPr>
            <w:r w:rsidRPr="00274A5B">
              <w:rPr>
                <w:rFonts w:ascii="Arial" w:hAnsi="Arial" w:cs="Arial"/>
                <w:noProof/>
                <w:sz w:val="24"/>
                <w:szCs w:val="24"/>
              </w:rPr>
              <w:drawing>
                <wp:inline distT="0" distB="0" distL="0" distR="0" wp14:anchorId="4817CD5F" wp14:editId="542E8EC0">
                  <wp:extent cx="520065" cy="480060"/>
                  <wp:effectExtent l="19050" t="0" r="0" b="0"/>
                  <wp:docPr id="13" name="Picture 2" descr="C:\Documents and Settings\Katherine.CargillWi\Local Settings\Temporary Internet Files\Content.IE5\HYWMHL8B\MM9002347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erine.CargillWi\Local Settings\Temporary Internet Files\Content.IE5\HYWMHL8B\MM900234700[1].gif"/>
                          <pic:cNvPicPr>
                            <a:picLocks noChangeAspect="1" noChangeArrowheads="1" noCrop="1"/>
                          </pic:cNvPicPr>
                        </pic:nvPicPr>
                        <pic:blipFill>
                          <a:blip r:embed="rId7" cstate="print"/>
                          <a:srcRect/>
                          <a:stretch>
                            <a:fillRect/>
                          </a:stretch>
                        </pic:blipFill>
                        <pic:spPr bwMode="auto">
                          <a:xfrm>
                            <a:off x="0" y="0"/>
                            <a:ext cx="520065" cy="480060"/>
                          </a:xfrm>
                          <a:prstGeom prst="rect">
                            <a:avLst/>
                          </a:prstGeom>
                          <a:noFill/>
                          <a:ln w="9525">
                            <a:noFill/>
                            <a:miter lim="800000"/>
                            <a:headEnd/>
                            <a:tailEnd/>
                          </a:ln>
                        </pic:spPr>
                      </pic:pic>
                    </a:graphicData>
                  </a:graphic>
                </wp:inline>
              </w:drawing>
            </w:r>
          </w:p>
        </w:tc>
        <w:tc>
          <w:tcPr>
            <w:tcW w:w="4788" w:type="dxa"/>
          </w:tcPr>
          <w:p w:rsidR="00274A5B" w:rsidRPr="00274A5B" w:rsidRDefault="00274A5B" w:rsidP="00274A5B">
            <w:pPr>
              <w:pStyle w:val="ListParagraph"/>
              <w:numPr>
                <w:ilvl w:val="1"/>
                <w:numId w:val="11"/>
              </w:numPr>
              <w:rPr>
                <w:rFonts w:ascii="Arial" w:hAnsi="Arial" w:cs="Arial"/>
                <w:sz w:val="24"/>
                <w:szCs w:val="24"/>
              </w:rPr>
            </w:pPr>
            <w:r w:rsidRPr="00274A5B">
              <w:rPr>
                <w:rFonts w:ascii="Arial" w:hAnsi="Arial" w:cs="Arial"/>
                <w:sz w:val="24"/>
                <w:szCs w:val="24"/>
              </w:rPr>
              <w:t>Identify capacity of SABE and participating states to provide peer advocacy and mentoring.</w:t>
            </w:r>
          </w:p>
          <w:p w:rsidR="00274A5B" w:rsidRPr="00274A5B" w:rsidRDefault="00274A5B" w:rsidP="00274A5B">
            <w:pPr>
              <w:pStyle w:val="ListParagraph"/>
              <w:numPr>
                <w:ilvl w:val="1"/>
                <w:numId w:val="11"/>
              </w:numPr>
              <w:rPr>
                <w:rFonts w:ascii="Arial" w:hAnsi="Arial" w:cs="Arial"/>
                <w:sz w:val="24"/>
                <w:szCs w:val="24"/>
              </w:rPr>
            </w:pPr>
            <w:r w:rsidRPr="00274A5B">
              <w:rPr>
                <w:rFonts w:ascii="Arial" w:hAnsi="Arial" w:cs="Arial"/>
                <w:sz w:val="24"/>
                <w:szCs w:val="24"/>
              </w:rPr>
              <w:t>SABE and participating states identify resources and provide opportunities for training and leadership development for and by participating states.</w:t>
            </w:r>
          </w:p>
          <w:p w:rsidR="00274A5B" w:rsidRPr="00274A5B" w:rsidRDefault="00274A5B" w:rsidP="00274A5B">
            <w:pPr>
              <w:pStyle w:val="ListParagraph"/>
              <w:numPr>
                <w:ilvl w:val="1"/>
                <w:numId w:val="11"/>
              </w:numPr>
              <w:rPr>
                <w:rFonts w:ascii="Arial" w:hAnsi="Arial" w:cs="Arial"/>
                <w:sz w:val="24"/>
                <w:szCs w:val="24"/>
              </w:rPr>
            </w:pPr>
            <w:r w:rsidRPr="00274A5B">
              <w:rPr>
                <w:rFonts w:ascii="Arial" w:hAnsi="Arial" w:cs="Arial"/>
                <w:sz w:val="24"/>
                <w:szCs w:val="24"/>
              </w:rPr>
              <w:t>SABE supports states in providing education and outreach to their local groups and community.</w:t>
            </w:r>
          </w:p>
          <w:p w:rsidR="00274A5B" w:rsidRPr="00274A5B" w:rsidRDefault="00274A5B" w:rsidP="005F3696">
            <w:pPr>
              <w:rPr>
                <w:rFonts w:ascii="Arial" w:hAnsi="Arial" w:cs="Arial"/>
                <w:sz w:val="24"/>
                <w:szCs w:val="24"/>
              </w:rPr>
            </w:pPr>
          </w:p>
        </w:tc>
      </w:tr>
      <w:tr w:rsidR="00274A5B" w:rsidRPr="00274A5B" w:rsidTr="005F3696">
        <w:tc>
          <w:tcPr>
            <w:tcW w:w="4788" w:type="dxa"/>
          </w:tcPr>
          <w:p w:rsidR="00274A5B" w:rsidRPr="00274A5B" w:rsidRDefault="00274A5B" w:rsidP="005F3696">
            <w:pPr>
              <w:jc w:val="center"/>
              <w:rPr>
                <w:rFonts w:ascii="Arial" w:hAnsi="Arial" w:cs="Arial"/>
                <w:sz w:val="24"/>
                <w:szCs w:val="24"/>
              </w:rPr>
            </w:pPr>
            <w:r w:rsidRPr="00274A5B">
              <w:rPr>
                <w:rFonts w:ascii="Arial" w:hAnsi="Arial" w:cs="Arial"/>
                <w:sz w:val="24"/>
                <w:szCs w:val="24"/>
              </w:rPr>
              <w:t xml:space="preserve">Activities </w:t>
            </w:r>
          </w:p>
          <w:p w:rsidR="00274A5B" w:rsidRPr="00274A5B" w:rsidRDefault="00274A5B" w:rsidP="005F3696">
            <w:pPr>
              <w:jc w:val="center"/>
              <w:rPr>
                <w:rFonts w:ascii="Arial" w:hAnsi="Arial" w:cs="Arial"/>
                <w:sz w:val="24"/>
                <w:szCs w:val="24"/>
              </w:rPr>
            </w:pPr>
            <w:r w:rsidRPr="00274A5B">
              <w:rPr>
                <w:rFonts w:ascii="Arial" w:hAnsi="Arial" w:cs="Arial"/>
                <w:noProof/>
                <w:sz w:val="24"/>
                <w:szCs w:val="24"/>
              </w:rPr>
              <w:drawing>
                <wp:inline distT="0" distB="0" distL="0" distR="0" wp14:anchorId="19274268" wp14:editId="122B3D6A">
                  <wp:extent cx="600075" cy="650367"/>
                  <wp:effectExtent l="19050" t="0" r="9525" b="0"/>
                  <wp:docPr id="30" name="Picture 3" descr="C:\Documents and Settings\Katherine.CargillWi\Local Settings\Temporary Internet Files\Content.IE5\UOH8537N\MC900440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therine.CargillWi\Local Settings\Temporary Internet Files\Content.IE5\UOH8537N\MC900440201[1].wmf"/>
                          <pic:cNvPicPr>
                            <a:picLocks noChangeAspect="1" noChangeArrowheads="1"/>
                          </pic:cNvPicPr>
                        </pic:nvPicPr>
                        <pic:blipFill>
                          <a:blip r:embed="rId8" cstate="print"/>
                          <a:srcRect/>
                          <a:stretch>
                            <a:fillRect/>
                          </a:stretch>
                        </pic:blipFill>
                        <pic:spPr bwMode="auto">
                          <a:xfrm>
                            <a:off x="0" y="0"/>
                            <a:ext cx="600075" cy="650367"/>
                          </a:xfrm>
                          <a:prstGeom prst="rect">
                            <a:avLst/>
                          </a:prstGeom>
                          <a:noFill/>
                          <a:ln w="9525">
                            <a:noFill/>
                            <a:miter lim="800000"/>
                            <a:headEnd/>
                            <a:tailEnd/>
                          </a:ln>
                        </pic:spPr>
                      </pic:pic>
                    </a:graphicData>
                  </a:graphic>
                </wp:inline>
              </w:drawing>
            </w:r>
          </w:p>
        </w:tc>
        <w:tc>
          <w:tcPr>
            <w:tcW w:w="4788" w:type="dxa"/>
          </w:tcPr>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48 attended the advisory Committee meeting in Nashville on January 11-12, 2014.</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SABE President Bryon Murray welcomed the group and several of the board members joined in the meeting.</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We had representatives from Vanderbilt and University of South Carolina UCEDD’s and a representative from the Tennessee Sibling’s Network.</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The meeting addressed strategies for completion of surveys, state presented on the demographics and needs of their state organization and an ally presented on use of social media.</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States also discussed their strengths and needs for technical assistance at this meeting.</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 xml:space="preserve">Two committees were formed to address survey results and social </w:t>
            </w:r>
            <w:r w:rsidRPr="00274A5B">
              <w:rPr>
                <w:rFonts w:ascii="Arial" w:hAnsi="Arial" w:cs="Arial"/>
                <w:sz w:val="24"/>
                <w:szCs w:val="24"/>
              </w:rPr>
              <w:lastRenderedPageBreak/>
              <w:t>media and webinar and advisory committee planning</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All eight states have signed their contracts, completed phase one of the contract, and received their first payment.</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States have worked on needs assessment surveys and as of March 31 states had completed 605.</w:t>
            </w:r>
          </w:p>
          <w:p w:rsidR="00274A5B" w:rsidRPr="00A42F2E" w:rsidRDefault="00274A5B" w:rsidP="005F3696">
            <w:pPr>
              <w:pStyle w:val="ListParagraph"/>
              <w:numPr>
                <w:ilvl w:val="0"/>
                <w:numId w:val="12"/>
              </w:numPr>
              <w:rPr>
                <w:rFonts w:ascii="Arial" w:hAnsi="Arial" w:cs="Arial"/>
                <w:sz w:val="24"/>
                <w:szCs w:val="24"/>
              </w:rPr>
            </w:pPr>
            <w:r w:rsidRPr="00274A5B">
              <w:rPr>
                <w:rFonts w:ascii="Arial" w:hAnsi="Arial" w:cs="Arial"/>
                <w:sz w:val="24"/>
                <w:szCs w:val="24"/>
              </w:rPr>
              <w:t>Committees and Advisory Committee met by phone and Go To Meeting-March 4 and March 6.</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North Carolina and South Carolina had competed the requirement for 150 survey per state.</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The Advisory Committee identified and scheduled six webinars based on their immediate needs for technical assistance.</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The topics and dates for the Webinars are:</w:t>
            </w:r>
          </w:p>
          <w:p w:rsidR="00274A5B" w:rsidRPr="00274A5B" w:rsidRDefault="00274A5B" w:rsidP="00274A5B">
            <w:pPr>
              <w:pStyle w:val="ListParagraph"/>
              <w:numPr>
                <w:ilvl w:val="0"/>
                <w:numId w:val="13"/>
              </w:numPr>
              <w:spacing w:after="200" w:line="276" w:lineRule="auto"/>
              <w:rPr>
                <w:rFonts w:ascii="Arial" w:hAnsi="Arial" w:cs="Arial"/>
                <w:sz w:val="24"/>
                <w:szCs w:val="24"/>
              </w:rPr>
            </w:pPr>
            <w:r w:rsidRPr="00274A5B">
              <w:rPr>
                <w:rFonts w:ascii="Arial" w:hAnsi="Arial" w:cs="Arial"/>
                <w:sz w:val="24"/>
                <w:szCs w:val="24"/>
              </w:rPr>
              <w:t>March 27:  Vlogging: Video Blogging Beth Hopkins, Self Advocate Mentor Arc of Tennessee</w:t>
            </w:r>
          </w:p>
          <w:p w:rsidR="009F6A22" w:rsidRDefault="00274A5B" w:rsidP="00274A5B">
            <w:pPr>
              <w:pStyle w:val="ListParagraph"/>
              <w:numPr>
                <w:ilvl w:val="0"/>
                <w:numId w:val="13"/>
              </w:numPr>
              <w:spacing w:after="200" w:line="276" w:lineRule="auto"/>
              <w:rPr>
                <w:rFonts w:ascii="Arial" w:hAnsi="Arial" w:cs="Arial"/>
                <w:sz w:val="24"/>
                <w:szCs w:val="24"/>
              </w:rPr>
            </w:pPr>
            <w:r w:rsidRPr="00274A5B">
              <w:rPr>
                <w:rFonts w:ascii="Arial" w:hAnsi="Arial" w:cs="Arial"/>
                <w:sz w:val="24"/>
                <w:szCs w:val="24"/>
              </w:rPr>
              <w:t xml:space="preserve">April 22: </w:t>
            </w:r>
            <w:r w:rsidR="009F6A22">
              <w:rPr>
                <w:rFonts w:ascii="Arial" w:hAnsi="Arial" w:cs="Arial"/>
                <w:sz w:val="24"/>
                <w:szCs w:val="24"/>
              </w:rPr>
              <w:t>How to develop a plan?</w:t>
            </w:r>
          </w:p>
          <w:p w:rsidR="00274A5B" w:rsidRPr="00274A5B" w:rsidRDefault="00274A5B" w:rsidP="00274A5B">
            <w:pPr>
              <w:pStyle w:val="ListParagraph"/>
              <w:numPr>
                <w:ilvl w:val="0"/>
                <w:numId w:val="13"/>
              </w:numPr>
              <w:spacing w:after="200" w:line="276" w:lineRule="auto"/>
              <w:rPr>
                <w:rFonts w:ascii="Arial" w:hAnsi="Arial" w:cs="Arial"/>
                <w:sz w:val="24"/>
                <w:szCs w:val="24"/>
              </w:rPr>
            </w:pPr>
            <w:r w:rsidRPr="00274A5B">
              <w:rPr>
                <w:rFonts w:ascii="Arial" w:hAnsi="Arial" w:cs="Arial"/>
                <w:sz w:val="24"/>
                <w:szCs w:val="24"/>
              </w:rPr>
              <w:t>May 27: How can our DD Partners Help Us?</w:t>
            </w:r>
          </w:p>
          <w:p w:rsidR="00274A5B" w:rsidRPr="00274A5B" w:rsidRDefault="00274A5B" w:rsidP="00274A5B">
            <w:pPr>
              <w:pStyle w:val="ListParagraph"/>
              <w:numPr>
                <w:ilvl w:val="0"/>
                <w:numId w:val="13"/>
              </w:numPr>
              <w:spacing w:after="200" w:line="276" w:lineRule="auto"/>
              <w:rPr>
                <w:rFonts w:ascii="Arial" w:hAnsi="Arial" w:cs="Arial"/>
                <w:sz w:val="24"/>
                <w:szCs w:val="24"/>
              </w:rPr>
            </w:pPr>
            <w:r w:rsidRPr="00274A5B">
              <w:rPr>
                <w:rFonts w:ascii="Arial" w:hAnsi="Arial" w:cs="Arial"/>
                <w:sz w:val="24"/>
                <w:szCs w:val="24"/>
              </w:rPr>
              <w:t>June 24: Finding Strategies</w:t>
            </w:r>
          </w:p>
          <w:p w:rsidR="00274A5B" w:rsidRPr="00274A5B" w:rsidRDefault="00274A5B" w:rsidP="00274A5B">
            <w:pPr>
              <w:pStyle w:val="ListParagraph"/>
              <w:numPr>
                <w:ilvl w:val="0"/>
                <w:numId w:val="13"/>
              </w:numPr>
              <w:spacing w:after="200" w:line="276" w:lineRule="auto"/>
              <w:rPr>
                <w:rFonts w:ascii="Arial" w:hAnsi="Arial" w:cs="Arial"/>
                <w:sz w:val="24"/>
                <w:szCs w:val="24"/>
              </w:rPr>
            </w:pPr>
            <w:r w:rsidRPr="00274A5B">
              <w:rPr>
                <w:rFonts w:ascii="Arial" w:hAnsi="Arial" w:cs="Arial"/>
                <w:sz w:val="24"/>
                <w:szCs w:val="24"/>
              </w:rPr>
              <w:t>July 22: Writing Grants</w:t>
            </w:r>
          </w:p>
          <w:p w:rsidR="00274A5B" w:rsidRPr="00274A5B" w:rsidRDefault="00274A5B" w:rsidP="00274A5B">
            <w:pPr>
              <w:pStyle w:val="ListParagraph"/>
              <w:numPr>
                <w:ilvl w:val="0"/>
                <w:numId w:val="13"/>
              </w:numPr>
              <w:spacing w:after="200" w:line="276" w:lineRule="auto"/>
              <w:rPr>
                <w:rFonts w:ascii="Arial" w:hAnsi="Arial" w:cs="Arial"/>
                <w:sz w:val="24"/>
                <w:szCs w:val="24"/>
              </w:rPr>
            </w:pPr>
            <w:r w:rsidRPr="00274A5B">
              <w:rPr>
                <w:rFonts w:ascii="Arial" w:hAnsi="Arial" w:cs="Arial"/>
                <w:sz w:val="24"/>
                <w:szCs w:val="24"/>
              </w:rPr>
              <w:t>August 26 Keeping Granting</w:t>
            </w:r>
          </w:p>
          <w:p w:rsidR="009F6A22" w:rsidRPr="009F6A22" w:rsidRDefault="009F6A22" w:rsidP="009F6A22">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TBD </w:t>
            </w:r>
            <w:r w:rsidRPr="009F6A22">
              <w:rPr>
                <w:rFonts w:ascii="Arial" w:hAnsi="Arial" w:cs="Arial"/>
                <w:sz w:val="24"/>
                <w:szCs w:val="24"/>
              </w:rPr>
              <w:t>Developing Strategies and Building Partnerships</w:t>
            </w:r>
          </w:p>
          <w:p w:rsidR="00274A5B" w:rsidRPr="00274A5B" w:rsidRDefault="00274A5B" w:rsidP="00274A5B">
            <w:pPr>
              <w:pStyle w:val="ListParagraph"/>
              <w:numPr>
                <w:ilvl w:val="0"/>
                <w:numId w:val="13"/>
              </w:numPr>
              <w:spacing w:after="200" w:line="276" w:lineRule="auto"/>
              <w:rPr>
                <w:rFonts w:ascii="Arial" w:hAnsi="Arial" w:cs="Arial"/>
                <w:sz w:val="24"/>
                <w:szCs w:val="24"/>
              </w:rPr>
            </w:pPr>
            <w:r w:rsidRPr="00274A5B">
              <w:rPr>
                <w:rFonts w:ascii="Arial" w:hAnsi="Arial" w:cs="Arial"/>
                <w:sz w:val="24"/>
                <w:szCs w:val="24"/>
              </w:rPr>
              <w:t>TBD Blogging- Getting your message out!</w:t>
            </w:r>
          </w:p>
          <w:p w:rsid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 xml:space="preserve">States were invited and some participated in the SABE-Autism Now Webinar on Closing Institutions. Presenters included The Alabama Disability Advocacy Program (ADAP) and People First of Alabama. Represented OCSS </w:t>
            </w:r>
            <w:r w:rsidR="009F6A22">
              <w:rPr>
                <w:rFonts w:ascii="Arial" w:hAnsi="Arial" w:cs="Arial"/>
                <w:sz w:val="24"/>
                <w:szCs w:val="24"/>
              </w:rPr>
              <w:t>as panel members on the webinar.</w:t>
            </w:r>
          </w:p>
          <w:p w:rsidR="009F6A22" w:rsidRPr="00274A5B" w:rsidRDefault="009F6A22" w:rsidP="00274A5B">
            <w:pPr>
              <w:pStyle w:val="ListParagraph"/>
              <w:numPr>
                <w:ilvl w:val="0"/>
                <w:numId w:val="12"/>
              </w:numPr>
              <w:rPr>
                <w:rFonts w:ascii="Arial" w:hAnsi="Arial" w:cs="Arial"/>
                <w:sz w:val="24"/>
                <w:szCs w:val="24"/>
              </w:rPr>
            </w:pP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lastRenderedPageBreak/>
              <w:t xml:space="preserve">We are encouraging states to produce video blogs (Vlogs). The first Vlog or Blog are due by end of April. </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Topics of Vlogs or Blogs will be: employment, children in nursing homes, social security and work incentives, transportation.</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Provided one on one consultation by phone and e-mail to self-advocacy organizations and partners to Alabama, Arkansas, Tennessee, Georgia, North Carolina, and South Carolina.</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Published two articles in SABE Nation on Our Community Standing Strong and an article on Employment First published in the Kansas City Times featuring Jeff Ridgeway and People First of Alabama efforts to promote employment.</w:t>
            </w:r>
          </w:p>
          <w:p w:rsidR="00274A5B" w:rsidRPr="00274A5B" w:rsidRDefault="00274A5B" w:rsidP="00274A5B">
            <w:pPr>
              <w:pStyle w:val="ListParagraph"/>
              <w:numPr>
                <w:ilvl w:val="0"/>
                <w:numId w:val="12"/>
              </w:numPr>
              <w:rPr>
                <w:rFonts w:ascii="Arial" w:hAnsi="Arial" w:cs="Arial"/>
                <w:sz w:val="24"/>
                <w:szCs w:val="24"/>
              </w:rPr>
            </w:pPr>
            <w:r w:rsidRPr="00274A5B">
              <w:rPr>
                <w:rFonts w:ascii="Arial" w:hAnsi="Arial" w:cs="Arial"/>
                <w:sz w:val="24"/>
                <w:szCs w:val="24"/>
              </w:rPr>
              <w:t>Set up Facebook   Page and worked with SABE’s website developer in revamping the website to feature Our Community Standing Strong.</w:t>
            </w:r>
          </w:p>
        </w:tc>
      </w:tr>
      <w:tr w:rsidR="00274A5B" w:rsidRPr="00274A5B" w:rsidTr="005F3696">
        <w:tc>
          <w:tcPr>
            <w:tcW w:w="4788" w:type="dxa"/>
          </w:tcPr>
          <w:p w:rsidR="00274A5B" w:rsidRPr="00274A5B" w:rsidRDefault="00274A5B" w:rsidP="005F3696">
            <w:pPr>
              <w:jc w:val="center"/>
              <w:rPr>
                <w:rFonts w:ascii="Arial" w:hAnsi="Arial" w:cs="Arial"/>
                <w:sz w:val="24"/>
                <w:szCs w:val="24"/>
              </w:rPr>
            </w:pPr>
          </w:p>
          <w:p w:rsidR="00274A5B" w:rsidRPr="00274A5B" w:rsidRDefault="00274A5B" w:rsidP="005F3696">
            <w:pPr>
              <w:jc w:val="center"/>
              <w:rPr>
                <w:rFonts w:ascii="Arial" w:hAnsi="Arial" w:cs="Arial"/>
                <w:sz w:val="24"/>
                <w:szCs w:val="24"/>
              </w:rPr>
            </w:pPr>
            <w:r w:rsidRPr="00274A5B">
              <w:rPr>
                <w:rFonts w:ascii="Arial" w:hAnsi="Arial" w:cs="Arial"/>
                <w:sz w:val="24"/>
                <w:szCs w:val="24"/>
              </w:rPr>
              <w:t xml:space="preserve">Outcomes </w:t>
            </w:r>
          </w:p>
          <w:p w:rsidR="00274A5B" w:rsidRPr="00274A5B" w:rsidRDefault="00274A5B" w:rsidP="005F3696">
            <w:pPr>
              <w:jc w:val="center"/>
              <w:rPr>
                <w:rFonts w:ascii="Arial" w:hAnsi="Arial" w:cs="Arial"/>
                <w:sz w:val="24"/>
                <w:szCs w:val="24"/>
              </w:rPr>
            </w:pPr>
            <w:r w:rsidRPr="00274A5B">
              <w:rPr>
                <w:rFonts w:ascii="Arial" w:hAnsi="Arial" w:cs="Arial"/>
                <w:noProof/>
                <w:sz w:val="24"/>
                <w:szCs w:val="24"/>
              </w:rPr>
              <w:drawing>
                <wp:inline distT="0" distB="0" distL="0" distR="0" wp14:anchorId="1FDFD6BD" wp14:editId="693DD238">
                  <wp:extent cx="1041149" cy="957057"/>
                  <wp:effectExtent l="0" t="0" r="6985" b="0"/>
                  <wp:docPr id="35" name="Picture 5" descr="C:\Documents and Settings\Katherine.CargillWi\Local Settings\Temporary Internet Files\Content.IE5\1DMY56TI\MC910217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atherine.CargillWi\Local Settings\Temporary Internet Files\Content.IE5\1DMY56TI\MC910217623[1].wmf"/>
                          <pic:cNvPicPr>
                            <a:picLocks noChangeAspect="1" noChangeArrowheads="1"/>
                          </pic:cNvPicPr>
                        </pic:nvPicPr>
                        <pic:blipFill>
                          <a:blip r:embed="rId9" cstate="print"/>
                          <a:srcRect/>
                          <a:stretch>
                            <a:fillRect/>
                          </a:stretch>
                        </pic:blipFill>
                        <pic:spPr bwMode="auto">
                          <a:xfrm>
                            <a:off x="0" y="0"/>
                            <a:ext cx="1047063" cy="962494"/>
                          </a:xfrm>
                          <a:prstGeom prst="rect">
                            <a:avLst/>
                          </a:prstGeom>
                          <a:noFill/>
                          <a:ln w="9525">
                            <a:noFill/>
                            <a:miter lim="800000"/>
                            <a:headEnd/>
                            <a:tailEnd/>
                          </a:ln>
                        </pic:spPr>
                      </pic:pic>
                    </a:graphicData>
                  </a:graphic>
                </wp:inline>
              </w:drawing>
            </w:r>
          </w:p>
        </w:tc>
        <w:tc>
          <w:tcPr>
            <w:tcW w:w="4788" w:type="dxa"/>
          </w:tcPr>
          <w:p w:rsidR="00274A5B" w:rsidRPr="00274A5B" w:rsidRDefault="00274A5B" w:rsidP="005F3696">
            <w:pPr>
              <w:pStyle w:val="ListParagraph"/>
              <w:rPr>
                <w:rFonts w:ascii="Arial" w:hAnsi="Arial" w:cs="Arial"/>
                <w:sz w:val="24"/>
                <w:szCs w:val="24"/>
              </w:rPr>
            </w:pPr>
          </w:p>
          <w:p w:rsidR="00274A5B" w:rsidRPr="00274A5B" w:rsidRDefault="00A42F2E" w:rsidP="00274A5B">
            <w:pPr>
              <w:pStyle w:val="ListParagraph"/>
              <w:numPr>
                <w:ilvl w:val="0"/>
                <w:numId w:val="8"/>
              </w:numPr>
              <w:rPr>
                <w:rFonts w:ascii="Arial" w:hAnsi="Arial" w:cs="Arial"/>
                <w:sz w:val="24"/>
                <w:szCs w:val="24"/>
              </w:rPr>
            </w:pPr>
            <w:r>
              <w:rPr>
                <w:rFonts w:ascii="Arial" w:hAnsi="Arial" w:cs="Arial"/>
                <w:sz w:val="24"/>
                <w:szCs w:val="24"/>
              </w:rPr>
              <w:t xml:space="preserve">Advisory Committee </w:t>
            </w:r>
            <w:r w:rsidR="00274A5B" w:rsidRPr="00274A5B">
              <w:rPr>
                <w:rFonts w:ascii="Arial" w:hAnsi="Arial" w:cs="Arial"/>
                <w:sz w:val="24"/>
                <w:szCs w:val="24"/>
              </w:rPr>
              <w:t>has met 2</w:t>
            </w:r>
            <w:r>
              <w:rPr>
                <w:rFonts w:ascii="Arial" w:hAnsi="Arial" w:cs="Arial"/>
                <w:sz w:val="24"/>
                <w:szCs w:val="24"/>
              </w:rPr>
              <w:t xml:space="preserve"> </w:t>
            </w:r>
            <w:r w:rsidR="00274A5B" w:rsidRPr="00274A5B">
              <w:rPr>
                <w:rFonts w:ascii="Arial" w:hAnsi="Arial" w:cs="Arial"/>
                <w:sz w:val="24"/>
                <w:szCs w:val="24"/>
              </w:rPr>
              <w:t>times during quarter. January 11-12- Nashville-Face to Face,</w:t>
            </w:r>
          </w:p>
          <w:p w:rsidR="00274A5B" w:rsidRPr="00274A5B" w:rsidRDefault="00274A5B" w:rsidP="005F3696">
            <w:pPr>
              <w:pStyle w:val="ListParagraph"/>
              <w:rPr>
                <w:rFonts w:ascii="Arial" w:hAnsi="Arial" w:cs="Arial"/>
                <w:sz w:val="24"/>
                <w:szCs w:val="24"/>
              </w:rPr>
            </w:pPr>
            <w:r w:rsidRPr="00274A5B">
              <w:rPr>
                <w:rFonts w:ascii="Arial" w:hAnsi="Arial" w:cs="Arial"/>
                <w:sz w:val="24"/>
                <w:szCs w:val="24"/>
              </w:rPr>
              <w:t>March 4-Committees-Conference Call</w:t>
            </w:r>
          </w:p>
          <w:p w:rsidR="00274A5B" w:rsidRPr="00274A5B" w:rsidRDefault="00274A5B" w:rsidP="005F3696">
            <w:pPr>
              <w:pStyle w:val="ListParagraph"/>
              <w:rPr>
                <w:rFonts w:ascii="Arial" w:hAnsi="Arial" w:cs="Arial"/>
                <w:sz w:val="24"/>
                <w:szCs w:val="24"/>
              </w:rPr>
            </w:pPr>
            <w:r w:rsidRPr="00274A5B">
              <w:rPr>
                <w:rFonts w:ascii="Arial" w:hAnsi="Arial" w:cs="Arial"/>
                <w:sz w:val="24"/>
                <w:szCs w:val="24"/>
              </w:rPr>
              <w:t>March 6-Advisory Committee-Go To Meeting</w:t>
            </w:r>
          </w:p>
          <w:p w:rsidR="00274A5B" w:rsidRPr="00274A5B" w:rsidRDefault="00274A5B" w:rsidP="00274A5B">
            <w:pPr>
              <w:pStyle w:val="ListParagraph"/>
              <w:numPr>
                <w:ilvl w:val="0"/>
                <w:numId w:val="8"/>
              </w:numPr>
              <w:rPr>
                <w:rFonts w:ascii="Arial" w:hAnsi="Arial" w:cs="Arial"/>
                <w:sz w:val="24"/>
                <w:szCs w:val="24"/>
              </w:rPr>
            </w:pPr>
            <w:r w:rsidRPr="00274A5B">
              <w:rPr>
                <w:rFonts w:ascii="Arial" w:hAnsi="Arial" w:cs="Arial"/>
                <w:sz w:val="24"/>
                <w:szCs w:val="24"/>
              </w:rPr>
              <w:t>605 needs assessments collected as of March 31, 2014. Two states have completed 150 survey requirement.</w:t>
            </w:r>
          </w:p>
          <w:p w:rsidR="00274A5B" w:rsidRPr="00274A5B" w:rsidRDefault="00274A5B" w:rsidP="00274A5B">
            <w:pPr>
              <w:pStyle w:val="ListParagraph"/>
              <w:numPr>
                <w:ilvl w:val="0"/>
                <w:numId w:val="8"/>
              </w:numPr>
              <w:rPr>
                <w:rFonts w:ascii="Arial" w:hAnsi="Arial" w:cs="Arial"/>
                <w:sz w:val="24"/>
                <w:szCs w:val="24"/>
              </w:rPr>
            </w:pPr>
            <w:r w:rsidRPr="00274A5B">
              <w:rPr>
                <w:rFonts w:ascii="Arial" w:hAnsi="Arial" w:cs="Arial"/>
                <w:sz w:val="24"/>
                <w:szCs w:val="24"/>
              </w:rPr>
              <w:t xml:space="preserve">All 8 states have completed demographic survey which included identification of 5 topics for technical assistance and identification of state expertise in providing peer to peer technical assistance. </w:t>
            </w:r>
          </w:p>
          <w:p w:rsidR="00274A5B" w:rsidRPr="00274A5B" w:rsidRDefault="00274A5B" w:rsidP="00274A5B">
            <w:pPr>
              <w:pStyle w:val="ListParagraph"/>
              <w:numPr>
                <w:ilvl w:val="0"/>
                <w:numId w:val="8"/>
              </w:numPr>
              <w:rPr>
                <w:rFonts w:ascii="Arial" w:hAnsi="Arial" w:cs="Arial"/>
                <w:sz w:val="24"/>
                <w:szCs w:val="24"/>
              </w:rPr>
            </w:pPr>
            <w:r w:rsidRPr="00274A5B">
              <w:rPr>
                <w:rFonts w:ascii="Arial" w:hAnsi="Arial" w:cs="Arial"/>
                <w:sz w:val="24"/>
                <w:szCs w:val="24"/>
              </w:rPr>
              <w:lastRenderedPageBreak/>
              <w:t>Six Webinar topics have been identified and scheduled.</w:t>
            </w:r>
          </w:p>
          <w:p w:rsidR="00274A5B" w:rsidRPr="00274A5B" w:rsidRDefault="00274A5B" w:rsidP="00274A5B">
            <w:pPr>
              <w:pStyle w:val="ListParagraph"/>
              <w:numPr>
                <w:ilvl w:val="0"/>
                <w:numId w:val="8"/>
              </w:numPr>
              <w:rPr>
                <w:rFonts w:ascii="Arial" w:hAnsi="Arial" w:cs="Arial"/>
                <w:sz w:val="24"/>
                <w:szCs w:val="24"/>
              </w:rPr>
            </w:pPr>
            <w:r w:rsidRPr="00274A5B">
              <w:rPr>
                <w:rFonts w:ascii="Arial" w:hAnsi="Arial" w:cs="Arial"/>
                <w:sz w:val="24"/>
                <w:szCs w:val="24"/>
              </w:rPr>
              <w:t>Peer to Peer Technical Assistance have been provided by representatives from state organizations and their allies</w:t>
            </w:r>
          </w:p>
          <w:p w:rsidR="00274A5B" w:rsidRPr="00274A5B" w:rsidRDefault="00274A5B" w:rsidP="00274A5B">
            <w:pPr>
              <w:pStyle w:val="ListParagraph"/>
              <w:numPr>
                <w:ilvl w:val="0"/>
                <w:numId w:val="8"/>
              </w:numPr>
              <w:rPr>
                <w:rFonts w:ascii="Arial" w:hAnsi="Arial" w:cs="Arial"/>
                <w:sz w:val="24"/>
                <w:szCs w:val="24"/>
              </w:rPr>
            </w:pPr>
            <w:r w:rsidRPr="00274A5B">
              <w:rPr>
                <w:rFonts w:ascii="Arial" w:hAnsi="Arial" w:cs="Arial"/>
                <w:sz w:val="24"/>
                <w:szCs w:val="24"/>
              </w:rPr>
              <w:t>States also participated in the Webinars on Closing Institutions and Vlogging</w:t>
            </w:r>
          </w:p>
          <w:p w:rsidR="00274A5B" w:rsidRPr="00274A5B" w:rsidRDefault="00274A5B" w:rsidP="005F3696">
            <w:pPr>
              <w:rPr>
                <w:rFonts w:ascii="Arial" w:hAnsi="Arial" w:cs="Arial"/>
                <w:sz w:val="24"/>
                <w:szCs w:val="24"/>
              </w:rPr>
            </w:pPr>
          </w:p>
        </w:tc>
      </w:tr>
    </w:tbl>
    <w:p w:rsidR="00274A5B" w:rsidRPr="00274A5B" w:rsidRDefault="00274A5B" w:rsidP="00274A5B">
      <w:pPr>
        <w:jc w:val="center"/>
        <w:rPr>
          <w:rFonts w:ascii="Arial" w:hAnsi="Arial" w:cs="Arial"/>
          <w:b/>
          <w:sz w:val="24"/>
          <w:szCs w:val="24"/>
        </w:rPr>
      </w:pPr>
    </w:p>
    <w:p w:rsidR="00274A5B" w:rsidRPr="00274A5B" w:rsidRDefault="00274A5B" w:rsidP="00274A5B">
      <w:pPr>
        <w:rPr>
          <w:rFonts w:ascii="Arial" w:hAnsi="Arial" w:cs="Arial"/>
          <w:sz w:val="24"/>
          <w:szCs w:val="24"/>
        </w:rPr>
      </w:pPr>
      <w:r w:rsidRPr="00274A5B">
        <w:rPr>
          <w:rFonts w:ascii="Arial" w:hAnsi="Arial" w:cs="Arial"/>
          <w:b/>
          <w:sz w:val="24"/>
          <w:szCs w:val="24"/>
        </w:rPr>
        <w:t>SECTION 2</w:t>
      </w:r>
    </w:p>
    <w:p w:rsidR="00274A5B" w:rsidRPr="00274A5B" w:rsidRDefault="00274A5B" w:rsidP="00274A5B">
      <w:pPr>
        <w:jc w:val="center"/>
        <w:rPr>
          <w:rFonts w:ascii="Arial" w:hAnsi="Arial" w:cs="Arial"/>
          <w:b/>
          <w:sz w:val="24"/>
          <w:szCs w:val="24"/>
        </w:rPr>
      </w:pPr>
      <w:r w:rsidRPr="00274A5B">
        <w:rPr>
          <w:rFonts w:ascii="Arial" w:hAnsi="Arial" w:cs="Arial"/>
          <w:b/>
          <w:sz w:val="24"/>
          <w:szCs w:val="24"/>
        </w:rPr>
        <w:t>Collaborations</w:t>
      </w:r>
    </w:p>
    <w:p w:rsidR="00274A5B" w:rsidRPr="00274A5B" w:rsidRDefault="00274A5B" w:rsidP="00274A5B">
      <w:pPr>
        <w:jc w:val="center"/>
        <w:rPr>
          <w:rFonts w:ascii="Arial" w:hAnsi="Arial" w:cs="Arial"/>
          <w:b/>
          <w:sz w:val="24"/>
          <w:szCs w:val="24"/>
        </w:rPr>
      </w:pPr>
      <w:r w:rsidRPr="00274A5B">
        <w:rPr>
          <w:rFonts w:ascii="Arial" w:hAnsi="Arial" w:cs="Arial"/>
          <w:b/>
          <w:noProof/>
          <w:sz w:val="24"/>
          <w:szCs w:val="24"/>
        </w:rPr>
        <w:drawing>
          <wp:inline distT="0" distB="0" distL="0" distR="0" wp14:anchorId="03B6AC14" wp14:editId="11F426CD">
            <wp:extent cx="645857" cy="811033"/>
            <wp:effectExtent l="19050" t="0" r="1843" b="0"/>
            <wp:docPr id="9" name="Picture 6"/>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590" cy="811033"/>
                    </a:xfrm>
                    <a:prstGeom prst="rect">
                      <a:avLst/>
                    </a:prstGeom>
                  </pic:spPr>
                </pic:pic>
              </a:graphicData>
            </a:graphic>
          </wp:inline>
        </w:drawing>
      </w:r>
    </w:p>
    <w:p w:rsidR="00274A5B" w:rsidRPr="00274A5B" w:rsidRDefault="00274A5B" w:rsidP="00274A5B">
      <w:pPr>
        <w:jc w:val="center"/>
        <w:rPr>
          <w:rFonts w:ascii="Arial" w:hAnsi="Arial" w:cs="Arial"/>
          <w:b/>
          <w:sz w:val="24"/>
          <w:szCs w:val="24"/>
        </w:rPr>
      </w:pP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1.</w:t>
      </w:r>
      <w:r w:rsidRPr="00274A5B">
        <w:rPr>
          <w:rFonts w:ascii="Arial" w:hAnsi="Arial" w:cs="Arial"/>
          <w:sz w:val="24"/>
          <w:szCs w:val="24"/>
        </w:rPr>
        <w:tab/>
        <w:t>SABE continues to collaborate with Syracuse in managing the Listserv,</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2.</w:t>
      </w:r>
      <w:r w:rsidRPr="00274A5B">
        <w:rPr>
          <w:rFonts w:ascii="Arial" w:hAnsi="Arial" w:cs="Arial"/>
          <w:sz w:val="24"/>
          <w:szCs w:val="24"/>
        </w:rPr>
        <w:tab/>
        <w:t>ASAN and NEAT met by conference call on January 10.  Discussion included setting up a Facebook page for the Self Advocacy Technical Assistance Grantees. OCSS posted their surveys on the site for other grantees to review.  A conference call have been scheduled for April 3. The topics of discussion will include a joint presentation at the National Self Advocacy Conference in Oklahoma.</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3.</w:t>
      </w:r>
      <w:r w:rsidRPr="00274A5B">
        <w:rPr>
          <w:rFonts w:ascii="Arial" w:hAnsi="Arial" w:cs="Arial"/>
          <w:sz w:val="24"/>
          <w:szCs w:val="24"/>
        </w:rPr>
        <w:tab/>
        <w:t>OCSS will present with ASAN and NEAT at Reinventing Quality Conference in Baltimore in August.</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4.</w:t>
      </w:r>
      <w:r w:rsidRPr="00274A5B">
        <w:rPr>
          <w:rFonts w:ascii="Arial" w:hAnsi="Arial" w:cs="Arial"/>
          <w:sz w:val="24"/>
          <w:szCs w:val="24"/>
        </w:rPr>
        <w:tab/>
        <w:t xml:space="preserve">Vanderbilt University UCEDD has been extraordinary in reaching out to collaborate with our project. This has included the participation of two staff from the University.  In addition, the project provided technical assistance to Vanderbilt in the area of how to support self advocacy in Tennessee. The Center offered to develop a survey to be used to gather information for other UCEDD’S in participating state on how they supported self advocacy.  </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5.</w:t>
      </w:r>
      <w:r w:rsidRPr="00274A5B">
        <w:rPr>
          <w:rFonts w:ascii="Arial" w:hAnsi="Arial" w:cs="Arial"/>
          <w:sz w:val="24"/>
          <w:szCs w:val="24"/>
        </w:rPr>
        <w:tab/>
        <w:t>University of South Carolina sent a staff member from the UCEDD to the meeting in Nashville. In addition, another staff member and a self-advocate will present an advanced webinar on Blogging.</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lastRenderedPageBreak/>
        <w:t xml:space="preserve">6. </w:t>
      </w:r>
      <w:r w:rsidRPr="00274A5B">
        <w:rPr>
          <w:rFonts w:ascii="Arial" w:hAnsi="Arial" w:cs="Arial"/>
          <w:sz w:val="24"/>
          <w:szCs w:val="24"/>
        </w:rPr>
        <w:tab/>
        <w:t>The Arc of Tennessee’s Self Advocate Mentor, Beth Hopkins presented a webinar on Vlogging.</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 xml:space="preserve">7. </w:t>
      </w:r>
      <w:r w:rsidRPr="00274A5B">
        <w:rPr>
          <w:rFonts w:ascii="Arial" w:hAnsi="Arial" w:cs="Arial"/>
          <w:sz w:val="24"/>
          <w:szCs w:val="24"/>
        </w:rPr>
        <w:tab/>
        <w:t>Arkansas UCEDD sent a representative to the Nashville Meeting and participated in the State call with Arkansas.</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 xml:space="preserve">8. </w:t>
      </w:r>
      <w:r w:rsidRPr="00274A5B">
        <w:rPr>
          <w:rFonts w:ascii="Arial" w:hAnsi="Arial" w:cs="Arial"/>
          <w:sz w:val="24"/>
          <w:szCs w:val="24"/>
        </w:rPr>
        <w:tab/>
        <w:t>ADAP-Alabama (P and A) and President of People First of Alabama Co-presented on Webinar on Closing Institutions.</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9.</w:t>
      </w:r>
      <w:r w:rsidRPr="00274A5B">
        <w:rPr>
          <w:rFonts w:ascii="Arial" w:hAnsi="Arial" w:cs="Arial"/>
          <w:sz w:val="24"/>
          <w:szCs w:val="24"/>
        </w:rPr>
        <w:tab/>
        <w:t>DD Councils from Florida and South Carolina supported their team members and allies to attend the meeting in Nashville.</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10.</w:t>
      </w:r>
      <w:r w:rsidRPr="00274A5B">
        <w:rPr>
          <w:rFonts w:ascii="Arial" w:hAnsi="Arial" w:cs="Arial"/>
          <w:sz w:val="24"/>
          <w:szCs w:val="24"/>
        </w:rPr>
        <w:tab/>
        <w:t>Self Advocacy organizations from Alabama and Oklahoma supported their team members and allies to attend meeting in Nashville.</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 xml:space="preserve">11. </w:t>
      </w:r>
      <w:r w:rsidRPr="00274A5B">
        <w:rPr>
          <w:rFonts w:ascii="Arial" w:hAnsi="Arial" w:cs="Arial"/>
          <w:sz w:val="24"/>
          <w:szCs w:val="24"/>
        </w:rPr>
        <w:tab/>
        <w:t>Georgia’s P and A supported their representatives attendance and are involved in the Survey Result Committee.</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12.</w:t>
      </w:r>
      <w:r w:rsidRPr="00274A5B">
        <w:rPr>
          <w:rFonts w:ascii="Arial" w:hAnsi="Arial" w:cs="Arial"/>
          <w:sz w:val="24"/>
          <w:szCs w:val="24"/>
        </w:rPr>
        <w:tab/>
        <w:t>Alabama Department of Mental Health Director of Self Advocacy Services attended the Advisory Committee meeting in Nashville.</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 xml:space="preserve">13. </w:t>
      </w:r>
      <w:r w:rsidRPr="00274A5B">
        <w:rPr>
          <w:rFonts w:ascii="Arial" w:hAnsi="Arial" w:cs="Arial"/>
          <w:sz w:val="24"/>
          <w:szCs w:val="24"/>
        </w:rPr>
        <w:tab/>
        <w:t>National Sibling Network published an article highlighting the collaboration that is being facilitated by the project.</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 xml:space="preserve">14.  </w:t>
      </w:r>
      <w:r w:rsidR="009F6A22">
        <w:rPr>
          <w:rFonts w:ascii="Arial" w:hAnsi="Arial" w:cs="Arial"/>
          <w:sz w:val="24"/>
          <w:szCs w:val="24"/>
        </w:rPr>
        <w:t xml:space="preserve">    </w:t>
      </w:r>
      <w:r w:rsidRPr="00274A5B">
        <w:rPr>
          <w:rFonts w:ascii="Arial" w:hAnsi="Arial" w:cs="Arial"/>
          <w:sz w:val="24"/>
          <w:szCs w:val="24"/>
        </w:rPr>
        <w:t xml:space="preserve">The Arc </w:t>
      </w:r>
      <w:r w:rsidR="009F6A22">
        <w:rPr>
          <w:rFonts w:ascii="Arial" w:hAnsi="Arial" w:cs="Arial"/>
          <w:sz w:val="24"/>
          <w:szCs w:val="24"/>
        </w:rPr>
        <w:t>of South and North Carolina</w:t>
      </w:r>
      <w:r w:rsidRPr="00274A5B">
        <w:rPr>
          <w:rFonts w:ascii="Arial" w:hAnsi="Arial" w:cs="Arial"/>
          <w:sz w:val="24"/>
          <w:szCs w:val="24"/>
        </w:rPr>
        <w:t xml:space="preserve"> stepped up to act as fiscal agents for their self advocacy organizations.</w:t>
      </w:r>
    </w:p>
    <w:p w:rsidR="00274A5B" w:rsidRPr="00274A5B" w:rsidRDefault="00274A5B" w:rsidP="002F73B9">
      <w:pPr>
        <w:rPr>
          <w:rFonts w:ascii="Arial" w:hAnsi="Arial" w:cs="Arial"/>
          <w:b/>
          <w:sz w:val="24"/>
          <w:szCs w:val="24"/>
        </w:rPr>
      </w:pPr>
    </w:p>
    <w:p w:rsidR="00274A5B" w:rsidRPr="00274A5B" w:rsidRDefault="00274A5B" w:rsidP="00274A5B">
      <w:pPr>
        <w:jc w:val="center"/>
        <w:rPr>
          <w:rFonts w:ascii="Arial" w:hAnsi="Arial" w:cs="Arial"/>
          <w:b/>
          <w:sz w:val="24"/>
          <w:szCs w:val="24"/>
        </w:rPr>
      </w:pPr>
      <w:r w:rsidRPr="00274A5B">
        <w:rPr>
          <w:rFonts w:ascii="Arial" w:hAnsi="Arial" w:cs="Arial"/>
          <w:b/>
          <w:sz w:val="24"/>
          <w:szCs w:val="24"/>
        </w:rPr>
        <w:t>SECTION 3</w:t>
      </w:r>
    </w:p>
    <w:p w:rsidR="00274A5B" w:rsidRPr="00274A5B" w:rsidRDefault="00274A5B" w:rsidP="00274A5B">
      <w:pPr>
        <w:jc w:val="center"/>
        <w:rPr>
          <w:rFonts w:ascii="Arial" w:hAnsi="Arial" w:cs="Arial"/>
          <w:b/>
          <w:sz w:val="24"/>
          <w:szCs w:val="24"/>
        </w:rPr>
      </w:pPr>
      <w:r w:rsidRPr="00274A5B">
        <w:rPr>
          <w:rFonts w:ascii="Arial" w:hAnsi="Arial" w:cs="Arial"/>
          <w:b/>
          <w:sz w:val="24"/>
          <w:szCs w:val="24"/>
        </w:rPr>
        <w:t>Problems</w:t>
      </w:r>
      <w:r w:rsidRPr="00274A5B">
        <w:rPr>
          <w:rFonts w:ascii="Arial" w:hAnsi="Arial" w:cs="Arial"/>
          <w:b/>
          <w:noProof/>
          <w:sz w:val="24"/>
          <w:szCs w:val="24"/>
        </w:rPr>
        <w:drawing>
          <wp:inline distT="0" distB="0" distL="0" distR="0" wp14:anchorId="5E814E67" wp14:editId="21A9ADA5">
            <wp:extent cx="1030522" cy="731520"/>
            <wp:effectExtent l="19050" t="0" r="0" b="0"/>
            <wp:docPr id="11" name="Picture 1" descr="C:\Documents and Settings\Katherine.CargillWi\Local Settings\Temporary Internet Files\Content.IE5\PQ5RGW23\MP900401126[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erine.CargillWi\Local Settings\Temporary Internet Files\Content.IE5\PQ5RGW23\MP900401126[1].jpg"/>
                    <pic:cNvPicPr>
                      <a:picLocks noChangeAspect="1" noChangeArrowheads="1"/>
                    </pic:cNvPicPr>
                  </pic:nvPicPr>
                  <pic:blipFill>
                    <a:blip r:embed="rId11" cstate="print"/>
                    <a:srcRect/>
                    <a:stretch>
                      <a:fillRect/>
                    </a:stretch>
                  </pic:blipFill>
                  <pic:spPr bwMode="auto">
                    <a:xfrm>
                      <a:off x="0" y="0"/>
                      <a:ext cx="1030522" cy="731520"/>
                    </a:xfrm>
                    <a:prstGeom prst="rect">
                      <a:avLst/>
                    </a:prstGeom>
                    <a:noFill/>
                    <a:ln w="9525">
                      <a:noFill/>
                      <a:miter lim="800000"/>
                      <a:headEnd/>
                      <a:tailEnd/>
                    </a:ln>
                  </pic:spPr>
                </pic:pic>
              </a:graphicData>
            </a:graphic>
          </wp:inline>
        </w:drawing>
      </w:r>
    </w:p>
    <w:p w:rsidR="00274A5B" w:rsidRPr="00274A5B" w:rsidRDefault="00274A5B" w:rsidP="00274A5B">
      <w:pPr>
        <w:jc w:val="center"/>
        <w:rPr>
          <w:rFonts w:ascii="Arial" w:hAnsi="Arial" w:cs="Arial"/>
          <w:b/>
          <w:sz w:val="24"/>
          <w:szCs w:val="24"/>
        </w:rPr>
      </w:pP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1.</w:t>
      </w:r>
      <w:r w:rsidRPr="00274A5B">
        <w:rPr>
          <w:rFonts w:ascii="Arial" w:hAnsi="Arial" w:cs="Arial"/>
          <w:sz w:val="24"/>
          <w:szCs w:val="24"/>
        </w:rPr>
        <w:tab/>
        <w:t>SABE Website is in process of reconstruction so the project has been delayed in establishing a page for Our Community Standing Strong. We have made progress and should have this in place in the 3</w:t>
      </w:r>
      <w:r w:rsidRPr="00274A5B">
        <w:rPr>
          <w:rFonts w:ascii="Arial" w:hAnsi="Arial" w:cs="Arial"/>
          <w:sz w:val="24"/>
          <w:szCs w:val="24"/>
          <w:vertAlign w:val="superscript"/>
        </w:rPr>
        <w:t>rd</w:t>
      </w:r>
      <w:r w:rsidRPr="00274A5B">
        <w:rPr>
          <w:rFonts w:ascii="Arial" w:hAnsi="Arial" w:cs="Arial"/>
          <w:sz w:val="24"/>
          <w:szCs w:val="24"/>
        </w:rPr>
        <w:t xml:space="preserve"> quarter. </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3.</w:t>
      </w:r>
      <w:r w:rsidRPr="00274A5B">
        <w:rPr>
          <w:rFonts w:ascii="Arial" w:hAnsi="Arial" w:cs="Arial"/>
          <w:sz w:val="24"/>
          <w:szCs w:val="24"/>
        </w:rPr>
        <w:tab/>
        <w:t>O</w:t>
      </w:r>
      <w:r w:rsidR="009F6A22">
        <w:rPr>
          <w:rFonts w:ascii="Arial" w:hAnsi="Arial" w:cs="Arial"/>
          <w:sz w:val="24"/>
          <w:szCs w:val="24"/>
        </w:rPr>
        <w:t xml:space="preserve">ne state self advocacy group had indicated in the first quarter that they would </w:t>
      </w:r>
      <w:r w:rsidRPr="00274A5B">
        <w:rPr>
          <w:rFonts w:ascii="Arial" w:hAnsi="Arial" w:cs="Arial"/>
          <w:sz w:val="24"/>
          <w:szCs w:val="24"/>
        </w:rPr>
        <w:t xml:space="preserve">not be able to participate. The group has also been reluctant to communicate their concerns to their partners to see if they could assist. </w:t>
      </w:r>
      <w:r w:rsidR="009F6A22">
        <w:rPr>
          <w:rFonts w:ascii="Arial" w:hAnsi="Arial" w:cs="Arial"/>
          <w:sz w:val="24"/>
          <w:szCs w:val="24"/>
        </w:rPr>
        <w:t xml:space="preserve">However, this was </w:t>
      </w:r>
      <w:r w:rsidRPr="00274A5B">
        <w:rPr>
          <w:rFonts w:ascii="Arial" w:hAnsi="Arial" w:cs="Arial"/>
          <w:sz w:val="24"/>
          <w:szCs w:val="24"/>
        </w:rPr>
        <w:t xml:space="preserve">corrected by the involvement of one of the partners. </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lastRenderedPageBreak/>
        <w:t>4.</w:t>
      </w:r>
      <w:r w:rsidRPr="00274A5B">
        <w:rPr>
          <w:rFonts w:ascii="Arial" w:hAnsi="Arial" w:cs="Arial"/>
          <w:sz w:val="24"/>
          <w:szCs w:val="24"/>
        </w:rPr>
        <w:tab/>
        <w:t>Ou</w:t>
      </w:r>
      <w:r w:rsidR="009F6A22">
        <w:rPr>
          <w:rFonts w:ascii="Arial" w:hAnsi="Arial" w:cs="Arial"/>
          <w:sz w:val="24"/>
          <w:szCs w:val="24"/>
        </w:rPr>
        <w:t xml:space="preserve">tcome based contracting </w:t>
      </w:r>
      <w:r w:rsidRPr="00274A5B">
        <w:rPr>
          <w:rFonts w:ascii="Arial" w:hAnsi="Arial" w:cs="Arial"/>
          <w:sz w:val="24"/>
          <w:szCs w:val="24"/>
        </w:rPr>
        <w:t xml:space="preserve">was somewhat new to some of the fiscal agents. We have worked through these issues. </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 xml:space="preserve">5.  </w:t>
      </w:r>
      <w:r w:rsidRPr="00274A5B">
        <w:rPr>
          <w:rFonts w:ascii="Arial" w:hAnsi="Arial" w:cs="Arial"/>
          <w:sz w:val="24"/>
          <w:szCs w:val="24"/>
        </w:rPr>
        <w:tab/>
        <w:t xml:space="preserve">Number of needs assessment survey </w:t>
      </w:r>
      <w:proofErr w:type="gramStart"/>
      <w:r w:rsidRPr="00274A5B">
        <w:rPr>
          <w:rFonts w:ascii="Arial" w:hAnsi="Arial" w:cs="Arial"/>
          <w:sz w:val="24"/>
          <w:szCs w:val="24"/>
        </w:rPr>
        <w:t>continue</w:t>
      </w:r>
      <w:proofErr w:type="gramEnd"/>
      <w:r w:rsidRPr="00274A5B">
        <w:rPr>
          <w:rFonts w:ascii="Arial" w:hAnsi="Arial" w:cs="Arial"/>
          <w:sz w:val="24"/>
          <w:szCs w:val="24"/>
        </w:rPr>
        <w:t xml:space="preserve"> to be an issue</w:t>
      </w:r>
      <w:r w:rsidR="009F6A22">
        <w:rPr>
          <w:rFonts w:ascii="Arial" w:hAnsi="Arial" w:cs="Arial"/>
          <w:sz w:val="24"/>
          <w:szCs w:val="24"/>
        </w:rPr>
        <w:t xml:space="preserve"> for some states</w:t>
      </w:r>
      <w:r w:rsidRPr="00274A5B">
        <w:rPr>
          <w:rFonts w:ascii="Arial" w:hAnsi="Arial" w:cs="Arial"/>
          <w:sz w:val="24"/>
          <w:szCs w:val="24"/>
        </w:rPr>
        <w:t xml:space="preserve"> due to resources need</w:t>
      </w:r>
      <w:r w:rsidR="009F6A22">
        <w:rPr>
          <w:rFonts w:ascii="Arial" w:hAnsi="Arial" w:cs="Arial"/>
          <w:sz w:val="24"/>
          <w:szCs w:val="24"/>
        </w:rPr>
        <w:t>ed.</w:t>
      </w:r>
      <w:r w:rsidRPr="00274A5B">
        <w:rPr>
          <w:rFonts w:ascii="Arial" w:hAnsi="Arial" w:cs="Arial"/>
          <w:sz w:val="24"/>
          <w:szCs w:val="24"/>
        </w:rPr>
        <w:t xml:space="preserve"> We are working through these issues and will consider extending the deadline if needed.</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 xml:space="preserve">6.    </w:t>
      </w:r>
      <w:r w:rsidR="00A42F2E">
        <w:rPr>
          <w:rFonts w:ascii="Arial" w:hAnsi="Arial" w:cs="Arial"/>
          <w:sz w:val="24"/>
          <w:szCs w:val="24"/>
        </w:rPr>
        <w:t xml:space="preserve">    U</w:t>
      </w:r>
      <w:r w:rsidRPr="00274A5B">
        <w:rPr>
          <w:rFonts w:ascii="Arial" w:hAnsi="Arial" w:cs="Arial"/>
          <w:sz w:val="24"/>
          <w:szCs w:val="24"/>
        </w:rPr>
        <w:t>s</w:t>
      </w:r>
      <w:r w:rsidR="009F6A22">
        <w:rPr>
          <w:rFonts w:ascii="Arial" w:hAnsi="Arial" w:cs="Arial"/>
          <w:sz w:val="24"/>
          <w:szCs w:val="24"/>
        </w:rPr>
        <w:t>e of an internet based survey was</w:t>
      </w:r>
      <w:r w:rsidRPr="00274A5B">
        <w:rPr>
          <w:rFonts w:ascii="Arial" w:hAnsi="Arial" w:cs="Arial"/>
          <w:sz w:val="24"/>
          <w:szCs w:val="24"/>
        </w:rPr>
        <w:t xml:space="preserve"> new to some organizations. Some states have been very successful in managing these issues and are providing support to other states.</w:t>
      </w:r>
    </w:p>
    <w:p w:rsidR="00274A5B" w:rsidRPr="00274A5B" w:rsidRDefault="00274A5B" w:rsidP="00274A5B">
      <w:pPr>
        <w:ind w:left="720" w:hanging="720"/>
        <w:rPr>
          <w:rFonts w:ascii="Arial" w:hAnsi="Arial" w:cs="Arial"/>
          <w:sz w:val="24"/>
          <w:szCs w:val="24"/>
        </w:rPr>
      </w:pPr>
      <w:r w:rsidRPr="00274A5B">
        <w:rPr>
          <w:rFonts w:ascii="Arial" w:hAnsi="Arial" w:cs="Arial"/>
          <w:sz w:val="24"/>
          <w:szCs w:val="24"/>
        </w:rPr>
        <w:t xml:space="preserve">7. </w:t>
      </w:r>
      <w:r w:rsidRPr="00274A5B">
        <w:rPr>
          <w:rFonts w:ascii="Arial" w:hAnsi="Arial" w:cs="Arial"/>
          <w:sz w:val="24"/>
          <w:szCs w:val="24"/>
        </w:rPr>
        <w:tab/>
        <w:t>Internal communication and interactions within state organizations.</w:t>
      </w:r>
    </w:p>
    <w:p w:rsidR="005C7FF9" w:rsidRDefault="005C7FF9" w:rsidP="00595A00">
      <w:pPr>
        <w:jc w:val="center"/>
        <w:rPr>
          <w:rFonts w:ascii="Times New Roman" w:hAnsi="Times New Roman" w:cs="Times New Roman"/>
          <w:b/>
          <w:sz w:val="28"/>
          <w:szCs w:val="28"/>
        </w:rPr>
      </w:pPr>
    </w:p>
    <w:sectPr w:rsidR="005C7FF9" w:rsidSect="00D0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B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DA5469"/>
    <w:multiLevelType w:val="hybridMultilevel"/>
    <w:tmpl w:val="EC9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6D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E8285F"/>
    <w:multiLevelType w:val="hybridMultilevel"/>
    <w:tmpl w:val="42D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F2E74"/>
    <w:multiLevelType w:val="hybridMultilevel"/>
    <w:tmpl w:val="9BCA2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B0F37"/>
    <w:multiLevelType w:val="multilevel"/>
    <w:tmpl w:val="A76ECAA8"/>
    <w:lvl w:ilvl="0">
      <w:start w:val="1"/>
      <w:numFmt w:val="decimal"/>
      <w:lvlText w:val="%1."/>
      <w:lvlJc w:val="left"/>
      <w:pPr>
        <w:ind w:left="360" w:hanging="360"/>
      </w:pPr>
      <w:rPr>
        <w:rFonts w:ascii="Arial" w:eastAsiaTheme="minorEastAsia" w:hAnsi="Arial"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D9C5C15"/>
    <w:multiLevelType w:val="hybridMultilevel"/>
    <w:tmpl w:val="FCB2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907B5"/>
    <w:multiLevelType w:val="hybridMultilevel"/>
    <w:tmpl w:val="7F7C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D4AAB"/>
    <w:multiLevelType w:val="hybridMultilevel"/>
    <w:tmpl w:val="9752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C5E56"/>
    <w:multiLevelType w:val="hybridMultilevel"/>
    <w:tmpl w:val="7708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16042"/>
    <w:multiLevelType w:val="hybridMultilevel"/>
    <w:tmpl w:val="60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77D42"/>
    <w:multiLevelType w:val="hybridMultilevel"/>
    <w:tmpl w:val="4BEE6F94"/>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2">
    <w:nsid w:val="7B2B7FED"/>
    <w:multiLevelType w:val="hybridMultilevel"/>
    <w:tmpl w:val="DD14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8"/>
  </w:num>
  <w:num w:numId="6">
    <w:abstractNumId w:val="7"/>
  </w:num>
  <w:num w:numId="7">
    <w:abstractNumId w:val="2"/>
  </w:num>
  <w:num w:numId="8">
    <w:abstractNumId w:val="3"/>
  </w:num>
  <w:num w:numId="9">
    <w:abstractNumId w:val="12"/>
  </w:num>
  <w:num w:numId="10">
    <w:abstractNumId w:val="9"/>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E2"/>
    <w:rsid w:val="00012D40"/>
    <w:rsid w:val="000670D9"/>
    <w:rsid w:val="00074E78"/>
    <w:rsid w:val="000E7020"/>
    <w:rsid w:val="00137CDC"/>
    <w:rsid w:val="00143028"/>
    <w:rsid w:val="00172A2E"/>
    <w:rsid w:val="001A220D"/>
    <w:rsid w:val="001F55BE"/>
    <w:rsid w:val="00274A5B"/>
    <w:rsid w:val="0027762D"/>
    <w:rsid w:val="0028085C"/>
    <w:rsid w:val="002A2E69"/>
    <w:rsid w:val="002B702C"/>
    <w:rsid w:val="002F326F"/>
    <w:rsid w:val="002F73B9"/>
    <w:rsid w:val="003460B3"/>
    <w:rsid w:val="00365DC5"/>
    <w:rsid w:val="003964A0"/>
    <w:rsid w:val="003A1C03"/>
    <w:rsid w:val="00406BFD"/>
    <w:rsid w:val="00426A1B"/>
    <w:rsid w:val="0046378E"/>
    <w:rsid w:val="00474972"/>
    <w:rsid w:val="00492183"/>
    <w:rsid w:val="004A3754"/>
    <w:rsid w:val="00543199"/>
    <w:rsid w:val="005676F2"/>
    <w:rsid w:val="00595A00"/>
    <w:rsid w:val="005B1794"/>
    <w:rsid w:val="005C675A"/>
    <w:rsid w:val="005C7FF9"/>
    <w:rsid w:val="005D5A74"/>
    <w:rsid w:val="005D7FD0"/>
    <w:rsid w:val="00640987"/>
    <w:rsid w:val="006625D5"/>
    <w:rsid w:val="00695C52"/>
    <w:rsid w:val="006B2BCA"/>
    <w:rsid w:val="006D41D6"/>
    <w:rsid w:val="006E36CC"/>
    <w:rsid w:val="0070596D"/>
    <w:rsid w:val="007076B2"/>
    <w:rsid w:val="0075360D"/>
    <w:rsid w:val="007634EF"/>
    <w:rsid w:val="007856D0"/>
    <w:rsid w:val="007D25C8"/>
    <w:rsid w:val="007F2275"/>
    <w:rsid w:val="00816201"/>
    <w:rsid w:val="00817225"/>
    <w:rsid w:val="008330E5"/>
    <w:rsid w:val="00883E67"/>
    <w:rsid w:val="008A31F9"/>
    <w:rsid w:val="008C4692"/>
    <w:rsid w:val="00991ECF"/>
    <w:rsid w:val="009B1520"/>
    <w:rsid w:val="009C17D0"/>
    <w:rsid w:val="009F52E2"/>
    <w:rsid w:val="009F6A22"/>
    <w:rsid w:val="00A1345C"/>
    <w:rsid w:val="00A42F2E"/>
    <w:rsid w:val="00A63753"/>
    <w:rsid w:val="00A66539"/>
    <w:rsid w:val="00A84444"/>
    <w:rsid w:val="00A86BE0"/>
    <w:rsid w:val="00B60198"/>
    <w:rsid w:val="00B9673F"/>
    <w:rsid w:val="00BB0E50"/>
    <w:rsid w:val="00BC574F"/>
    <w:rsid w:val="00BC7D69"/>
    <w:rsid w:val="00CF3F90"/>
    <w:rsid w:val="00CF5D62"/>
    <w:rsid w:val="00D00B8E"/>
    <w:rsid w:val="00D158C8"/>
    <w:rsid w:val="00D91AA6"/>
    <w:rsid w:val="00DE68D5"/>
    <w:rsid w:val="00E07FCC"/>
    <w:rsid w:val="00E55B39"/>
    <w:rsid w:val="00E74289"/>
    <w:rsid w:val="00EC68C8"/>
    <w:rsid w:val="00EC6C9C"/>
    <w:rsid w:val="00ED2ACD"/>
    <w:rsid w:val="00F106D9"/>
    <w:rsid w:val="00FA0A10"/>
    <w:rsid w:val="00FA0ACC"/>
    <w:rsid w:val="00F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9C"/>
    <w:rPr>
      <w:rFonts w:ascii="Tahoma" w:hAnsi="Tahoma" w:cs="Tahoma"/>
      <w:sz w:val="16"/>
      <w:szCs w:val="16"/>
    </w:rPr>
  </w:style>
  <w:style w:type="table" w:styleId="TableGrid">
    <w:name w:val="Table Grid"/>
    <w:basedOn w:val="TableNormal"/>
    <w:uiPriority w:val="59"/>
    <w:rsid w:val="00E7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0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2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9C"/>
    <w:rPr>
      <w:rFonts w:ascii="Tahoma" w:hAnsi="Tahoma" w:cs="Tahoma"/>
      <w:sz w:val="16"/>
      <w:szCs w:val="16"/>
    </w:rPr>
  </w:style>
  <w:style w:type="table" w:styleId="TableGrid">
    <w:name w:val="Table Grid"/>
    <w:basedOn w:val="TableNormal"/>
    <w:uiPriority w:val="59"/>
    <w:rsid w:val="00E7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0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2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Juliana Huerena</cp:lastModifiedBy>
  <cp:revision>2</cp:revision>
  <cp:lastPrinted>2014-01-28T00:00:00Z</cp:lastPrinted>
  <dcterms:created xsi:type="dcterms:W3CDTF">2015-10-07T16:41:00Z</dcterms:created>
  <dcterms:modified xsi:type="dcterms:W3CDTF">2015-10-07T16:41:00Z</dcterms:modified>
</cp:coreProperties>
</file>